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Beruf: Kaufmann/frau im E-Commerce</w:t>
      </w:r>
    </w:p>
    <w:p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Lernfeld: 10</w:t>
      </w:r>
    </w:p>
    <w:p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>LS: 10.1.3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>
      <w:pPr>
        <w:rPr>
          <w:rFonts w:ascii="Arial" w:hAnsi="Arial" w:cs="Arial"/>
          <w:sz w:val="36"/>
          <w:szCs w:val="36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pStyle w:val="Kopfzeile"/>
        <w:tabs>
          <w:tab w:val="clear" w:pos="4536"/>
          <w:tab w:val="clear" w:pos="9072"/>
          <w:tab w:val="center" w:pos="6840"/>
          <w:tab w:val="right" w:pos="14760"/>
        </w:tabs>
        <w:rPr>
          <w:rFonts w:ascii="Arial" w:hAnsi="Arial" w:cs="Arial"/>
        </w:rPr>
      </w:pPr>
      <w:r>
        <w:rPr>
          <w:rFonts w:ascii="Arial" w:hAnsi="Arial" w:cs="Arial"/>
        </w:rPr>
        <w:t>Zeitrichtwert: 180 Min.</w:t>
      </w:r>
      <w:r>
        <w:rPr>
          <w:rFonts w:ascii="Arial" w:hAnsi="Arial" w:cs="Arial"/>
        </w:rPr>
        <w:tab/>
        <w:t>geplanter Zeitbedarf der Lernsituation: ……;</w:t>
      </w:r>
      <w:r>
        <w:rPr>
          <w:rFonts w:ascii="Arial" w:hAnsi="Arial" w:cs="Arial"/>
        </w:rPr>
        <w:tab/>
        <w:t>tatsächlicher Zeitbedarf: …………….</w:t>
      </w:r>
    </w:p>
    <w:p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  <w:gridCol w:w="993"/>
      </w:tblGrid>
      <w:tr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color w:val="548DD4"/>
              </w:rPr>
              <w:t xml:space="preserve">Handlungen (inkl. 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F</w:t>
            </w:r>
            <w:r>
              <w:rPr>
                <w:rFonts w:ascii="Arial" w:hAnsi="Arial" w:cs="Arial"/>
                <w:color w:val="548DD4"/>
              </w:rPr>
              <w:t>ach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k</w:t>
            </w:r>
            <w:r>
              <w:rPr>
                <w:rFonts w:ascii="Arial" w:hAnsi="Arial" w:cs="Arial"/>
                <w:color w:val="548DD4"/>
              </w:rPr>
              <w:t>ompetenz und andere Kompetenzen)</w:t>
            </w:r>
            <w:r>
              <w:rPr>
                <w:rFonts w:ascii="Arial" w:hAnsi="Arial" w:cs="Arial"/>
                <w:color w:val="548DD4"/>
              </w:rPr>
              <w:br/>
            </w:r>
            <w:r>
              <w:rPr>
                <w:rFonts w:ascii="Arial" w:hAnsi="Arial" w:cs="Arial"/>
                <w:color w:val="548DD4"/>
              </w:rPr>
              <w:br/>
              <w:t xml:space="preserve">Die Lernenden ... </w:t>
            </w:r>
          </w:p>
          <w:p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2480" w:type="dxa"/>
            <w:vAlign w:val="center"/>
          </w:tcPr>
          <w:p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>
              <w:rPr>
                <w:rFonts w:ascii="Arial" w:hAnsi="Arial" w:cs="Arial"/>
                <w:color w:val="548DD4"/>
              </w:rPr>
              <w:t>thoden</w:t>
            </w:r>
          </w:p>
          <w:p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>
              <w:rPr>
                <w:rFonts w:ascii="Arial" w:hAnsi="Arial" w:cs="Arial"/>
                <w:color w:val="548DD4"/>
              </w:rPr>
              <w:t>zialformen</w:t>
            </w:r>
          </w:p>
          <w:p>
            <w:pPr>
              <w:rPr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>
              <w:rPr>
                <w:rFonts w:ascii="Arial" w:hAnsi="Arial" w:cs="Arial"/>
                <w:color w:val="548DD4"/>
              </w:rPr>
              <w:t>e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2481" w:type="dxa"/>
            <w:vAlign w:val="center"/>
          </w:tcPr>
          <w:p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>Zeit</w:t>
            </w:r>
          </w:p>
        </w:tc>
      </w:tr>
      <w:tr>
        <w:trPr>
          <w:trHeight w:val="454"/>
        </w:trPr>
        <w:tc>
          <w:tcPr>
            <w:tcW w:w="360" w:type="dxa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Auszubildenden erhalten von Herrn Röder gesammelte Artikeldaten des Onlineshops. Diese Daten sollen 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sichten und auswerten. Hierzu sollen 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eine Software ihrer Wahl benutzen und ihre Ergebnisse interpretieren.</w:t>
            </w:r>
          </w:p>
          <w:p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Führen Sie alle vorgestellten Umsatzanalysen durch. </w:t>
            </w:r>
          </w:p>
          <w:p>
            <w:pPr>
              <w:rPr>
                <w:rFonts w:ascii="Trebuchet MS" w:hAnsi="Trebuchet MS"/>
                <w:sz w:val="22"/>
                <w:szCs w:val="22"/>
              </w:rPr>
            </w:pPr>
          </w:p>
          <w:p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Erstellen Sie für mindestens zwei Umsatzanalysen grafische Übersichten (z. B. MS Excel) anhand der ermittelten Daten. </w:t>
            </w:r>
          </w:p>
          <w:p>
            <w:pPr>
              <w:rPr>
                <w:rFonts w:ascii="Trebuchet MS" w:hAnsi="Trebuchet MS"/>
                <w:sz w:val="22"/>
                <w:szCs w:val="22"/>
              </w:rPr>
            </w:pPr>
          </w:p>
          <w:p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Ziehen Sie aus den gewonnenen Ergebnissen eine Schlussfolgerung/Erkenntnis und notieren Sie diese handschriftlich. </w:t>
            </w:r>
          </w:p>
          <w:p>
            <w:pPr>
              <w:rPr>
                <w:rFonts w:ascii="Trebuchet MS" w:hAnsi="Trebuchet MS"/>
                <w:sz w:val="22"/>
                <w:szCs w:val="22"/>
              </w:rPr>
            </w:pPr>
          </w:p>
          <w:p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Nehmen Sie anhand der Daten aus der Tabelle eine Renner-Penner-Analyse vor.</w:t>
            </w:r>
          </w:p>
          <w:p>
            <w:pPr>
              <w:rPr>
                <w:rFonts w:ascii="Trebuchet MS" w:hAnsi="Trebuchet MS"/>
                <w:sz w:val="22"/>
                <w:szCs w:val="22"/>
              </w:rPr>
            </w:pPr>
          </w:p>
          <w:p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Begründen Sie, welche Entscheidungen Sie aufgrund der Ergebnisse der Renner-Penner-Analyse treffen werden.</w:t>
            </w:r>
          </w:p>
          <w:p>
            <w:pPr>
              <w:rPr>
                <w:rFonts w:ascii="Trebuchet MS" w:hAnsi="Trebuchet MS"/>
                <w:sz w:val="22"/>
                <w:szCs w:val="22"/>
              </w:rPr>
            </w:pPr>
          </w:p>
          <w:p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Berechnen Sie die Look-</w:t>
            </w:r>
            <w:proofErr w:type="spellStart"/>
            <w:r>
              <w:rPr>
                <w:rFonts w:ascii="Trebuchet MS" w:hAnsi="Trebuchet MS"/>
              </w:rPr>
              <w:t>to</w:t>
            </w:r>
            <w:proofErr w:type="spellEnd"/>
            <w:r>
              <w:rPr>
                <w:rFonts w:ascii="Trebuchet MS" w:hAnsi="Trebuchet MS"/>
              </w:rPr>
              <w:t>-</w:t>
            </w:r>
            <w:proofErr w:type="spellStart"/>
            <w:r>
              <w:rPr>
                <w:rFonts w:ascii="Trebuchet MS" w:hAnsi="Trebuchet MS"/>
              </w:rPr>
              <w:t>book</w:t>
            </w:r>
            <w:proofErr w:type="spellEnd"/>
            <w:r>
              <w:rPr>
                <w:rFonts w:ascii="Trebuchet MS" w:hAnsi="Trebuchet MS"/>
              </w:rPr>
              <w:t>-Ratio für die genannten Artikel. Interpretieren Sie das Ergebnis schriftlich.</w:t>
            </w:r>
          </w:p>
        </w:tc>
        <w:tc>
          <w:tcPr>
            <w:tcW w:w="2480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03_Sortimentsaufgabe</w:t>
            </w:r>
          </w:p>
        </w:tc>
        <w:tc>
          <w:tcPr>
            <w:tcW w:w="2481" w:type="dxa"/>
          </w:tcPr>
          <w:p>
            <w:pPr>
              <w:ind w:left="432" w:hanging="432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10 Min.</w:t>
            </w:r>
          </w:p>
        </w:tc>
      </w:tr>
      <w:tr>
        <w:trPr>
          <w:trHeight w:val="454"/>
        </w:trPr>
        <w:tc>
          <w:tcPr>
            <w:tcW w:w="360" w:type="dxa"/>
          </w:tcPr>
          <w:p>
            <w:pPr>
              <w:pStyle w:val="berschrift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I/P</w:t>
            </w:r>
          </w:p>
        </w:tc>
        <w:tc>
          <w:tcPr>
            <w:tcW w:w="8395" w:type="dxa"/>
          </w:tcPr>
          <w:p>
            <w:pPr>
              <w:tabs>
                <w:tab w:val="left" w:pos="1260"/>
              </w:tabs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Somit müssen sich 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ihrem Glossar, in dem sie die Formeln für die Sortimentsanalyse abgelegt haben, bedienen und eine geeignete Software zur Bearbeitung der Daten identifizieren.</w:t>
            </w:r>
          </w:p>
        </w:tc>
        <w:tc>
          <w:tcPr>
            <w:tcW w:w="2480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</w:t>
            </w:r>
          </w:p>
        </w:tc>
        <w:tc>
          <w:tcPr>
            <w:tcW w:w="2481" w:type="dxa"/>
          </w:tcPr>
          <w:p>
            <w:pPr>
              <w:ind w:left="7" w:hanging="7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10 Min.</w:t>
            </w:r>
          </w:p>
        </w:tc>
      </w:tr>
      <w:tr>
        <w:trPr>
          <w:trHeight w:val="454"/>
        </w:trPr>
        <w:tc>
          <w:tcPr>
            <w:tcW w:w="360" w:type="dxa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8395" w:type="dxa"/>
          </w:tcPr>
          <w:p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Anschließend bearbeiten 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die Daten eigenständig und nehmen Interpretationen vor.</w:t>
            </w:r>
          </w:p>
        </w:tc>
        <w:tc>
          <w:tcPr>
            <w:tcW w:w="2480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</w:t>
            </w:r>
          </w:p>
        </w:tc>
        <w:tc>
          <w:tcPr>
            <w:tcW w:w="2481" w:type="dxa"/>
          </w:tcPr>
          <w:p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Min.</w:t>
            </w:r>
          </w:p>
        </w:tc>
      </w:tr>
      <w:tr>
        <w:trPr>
          <w:trHeight w:val="454"/>
        </w:trPr>
        <w:tc>
          <w:tcPr>
            <w:tcW w:w="360" w:type="dxa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B/K/R</w:t>
            </w:r>
          </w:p>
        </w:tc>
        <w:tc>
          <w:tcPr>
            <w:tcW w:w="8395" w:type="dxa"/>
          </w:tcPr>
          <w:p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Reflexionsgespräch können einzelne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die bearbeiteten Teilaufgaben vorstellen. Im Klassenplenum geben sich 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gegenseitig Feedback.</w:t>
            </w:r>
          </w:p>
        </w:tc>
        <w:tc>
          <w:tcPr>
            <w:tcW w:w="2480" w:type="dxa"/>
          </w:tcPr>
          <w:p>
            <w:pPr>
              <w:ind w:left="485" w:hanging="4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Präsentation</w:t>
            </w:r>
          </w:p>
        </w:tc>
        <w:tc>
          <w:tcPr>
            <w:tcW w:w="2481" w:type="dxa"/>
          </w:tcPr>
          <w:p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Min.</w:t>
            </w:r>
            <w:bookmarkStart w:id="0" w:name="_GoBack"/>
            <w:bookmarkEnd w:id="0"/>
          </w:p>
        </w:tc>
      </w:tr>
    </w:tbl>
    <w:p/>
    <w:sectPr>
      <w:headerReference w:type="default" r:id="rId9"/>
      <w:footerReference w:type="default" r:id="rId10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Handlungsphasen</w:t>
    </w:r>
    <w:r>
      <w:rPr>
        <w:rFonts w:ascii="Arial" w:hAnsi="Arial"/>
        <w:sz w:val="18"/>
        <w:szCs w:val="18"/>
      </w:rPr>
      <w:t xml:space="preserve">: </w:t>
    </w:r>
  </w:p>
  <w:p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sz w:val="18"/>
        <w:szCs w:val="18"/>
      </w:rPr>
      <w:t xml:space="preserve">O </w:t>
    </w:r>
    <w:r>
      <w:rPr>
        <w:rFonts w:ascii="Arial" w:hAnsi="Arial"/>
        <w:sz w:val="18"/>
        <w:szCs w:val="18"/>
      </w:rPr>
      <w:t xml:space="preserve">= Orientieren; </w:t>
    </w:r>
    <w:r>
      <w:rPr>
        <w:rFonts w:ascii="Arial" w:hAnsi="Arial"/>
        <w:b/>
        <w:sz w:val="18"/>
        <w:szCs w:val="18"/>
      </w:rPr>
      <w:t xml:space="preserve">I </w:t>
    </w:r>
    <w:r>
      <w:rPr>
        <w:rFonts w:ascii="Arial" w:hAnsi="Arial"/>
        <w:sz w:val="18"/>
        <w:szCs w:val="18"/>
      </w:rPr>
      <w:t xml:space="preserve">= Informieren; </w:t>
    </w:r>
    <w:r>
      <w:rPr>
        <w:rFonts w:ascii="Arial" w:hAnsi="Arial"/>
        <w:b/>
        <w:sz w:val="18"/>
        <w:szCs w:val="18"/>
      </w:rPr>
      <w:t xml:space="preserve">P </w:t>
    </w:r>
    <w:r>
      <w:rPr>
        <w:rFonts w:ascii="Arial" w:hAnsi="Arial"/>
        <w:sz w:val="18"/>
        <w:szCs w:val="18"/>
      </w:rPr>
      <w:t xml:space="preserve">= Planen; </w:t>
    </w:r>
    <w:r>
      <w:rPr>
        <w:rFonts w:ascii="Arial" w:hAnsi="Arial"/>
        <w:b/>
        <w:sz w:val="18"/>
        <w:szCs w:val="18"/>
      </w:rPr>
      <w:t xml:space="preserve">D </w:t>
    </w:r>
    <w:r>
      <w:rPr>
        <w:rFonts w:ascii="Arial" w:hAnsi="Arial"/>
        <w:sz w:val="18"/>
        <w:szCs w:val="18"/>
      </w:rPr>
      <w:t xml:space="preserve">= Durchführen; </w:t>
    </w:r>
    <w:r>
      <w:rPr>
        <w:rFonts w:ascii="Arial" w:hAnsi="Arial"/>
        <w:b/>
        <w:sz w:val="18"/>
        <w:szCs w:val="18"/>
      </w:rPr>
      <w:t xml:space="preserve">BKR </w:t>
    </w:r>
    <w:r>
      <w:rPr>
        <w:rFonts w:ascii="Arial" w:hAnsi="Arial"/>
        <w:sz w:val="18"/>
        <w:szCs w:val="18"/>
      </w:rPr>
      <w:t>= Bewerten/Kontrollieren/Reflektieren</w:t>
    </w:r>
    <w:r>
      <w:tab/>
    </w:r>
    <w:r>
      <w:rPr>
        <w:rStyle w:val="Seitenzahl"/>
        <w:rFonts w:ascii="Arial" w:hAnsi="Arial" w:cs="Arial"/>
        <w:sz w:val="18"/>
        <w:szCs w:val="18"/>
      </w:rPr>
      <w:t xml:space="preserve">Seite </w:t>
    </w:r>
    <w:r>
      <w:rPr>
        <w:rStyle w:val="Seitenzahl"/>
        <w:rFonts w:ascii="Arial" w:hAnsi="Arial" w:cs="Arial"/>
        <w:b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>
      <w:rPr>
        <w:rStyle w:val="Seitenzahl"/>
        <w:rFonts w:ascii="Arial" w:hAnsi="Arial" w:cs="Arial"/>
        <w:b/>
        <w:sz w:val="18"/>
        <w:szCs w:val="18"/>
      </w:rPr>
      <w:fldChar w:fldCharType="separate"/>
    </w:r>
    <w:r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sz w:val="18"/>
        <w:szCs w:val="18"/>
      </w:rPr>
      <w:fldChar w:fldCharType="end"/>
    </w:r>
    <w:r>
      <w:rPr>
        <w:rStyle w:val="Seitenzahl"/>
        <w:rFonts w:ascii="Arial" w:hAnsi="Arial" w:cs="Arial"/>
        <w:sz w:val="18"/>
        <w:szCs w:val="18"/>
      </w:rPr>
      <w:t xml:space="preserve"> von 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" fillcolor="#a6a6a6" stroked="f">
              <v:fill color2="silver" o:opacity2="32113f" rotate="t" angle="90" focus="100%" type="gradient"/>
              <v:textbox inset="1.82881mm,.91439mm,1.82881mm,.91439mm">
                <w:txbxContent>
                  <w:p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91057C9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06A83"/>
    <w:multiLevelType w:val="hybridMultilevel"/>
    <w:tmpl w:val="EDF0C5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73450"/>
    <w:multiLevelType w:val="hybridMultilevel"/>
    <w:tmpl w:val="4216C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14BE1"/>
    <w:multiLevelType w:val="hybridMultilevel"/>
    <w:tmpl w:val="9D625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14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50446EC-0664-4A90-931D-56E0BECB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4AD92-CAEB-4899-8032-A5DCDE82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Lernfeld:</vt:lpstr>
    </vt:vector>
  </TitlesOfParts>
  <Company>ZES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Schraut, Markus, StR</cp:lastModifiedBy>
  <cp:revision>7</cp:revision>
  <cp:lastPrinted>2008-05-23T17:07:00Z</cp:lastPrinted>
  <dcterms:created xsi:type="dcterms:W3CDTF">2021-06-09T11:05:00Z</dcterms:created>
  <dcterms:modified xsi:type="dcterms:W3CDTF">2021-06-28T12:56:00Z</dcterms:modified>
</cp:coreProperties>
</file>